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2C" w:rsidRPr="005E2082" w:rsidRDefault="00656A2C" w:rsidP="00656A2C">
      <w:pPr>
        <w:jc w:val="center"/>
        <w:rPr>
          <w:rFonts w:ascii="Times New Roman" w:hAnsi="Times New Roman"/>
          <w:sz w:val="24"/>
          <w:szCs w:val="24"/>
        </w:rPr>
      </w:pPr>
      <w:r w:rsidRPr="005E2082">
        <w:rPr>
          <w:rFonts w:ascii="Times New Roman" w:hAnsi="Times New Roman"/>
          <w:sz w:val="24"/>
          <w:szCs w:val="24"/>
        </w:rPr>
        <w:t>Tantárgyi tematika és félévi követelményrendszer</w:t>
      </w:r>
    </w:p>
    <w:p w:rsidR="00663B67" w:rsidRPr="005E2082" w:rsidRDefault="00663B67" w:rsidP="00C65088">
      <w:pPr>
        <w:jc w:val="center"/>
        <w:rPr>
          <w:rFonts w:ascii="Times New Roman" w:hAnsi="Times New Roman"/>
          <w:b/>
          <w:sz w:val="26"/>
          <w:szCs w:val="26"/>
        </w:rPr>
      </w:pPr>
      <w:r w:rsidRPr="005E2082">
        <w:rPr>
          <w:rFonts w:ascii="Times New Roman" w:hAnsi="Times New Roman"/>
          <w:b/>
          <w:sz w:val="26"/>
          <w:szCs w:val="26"/>
        </w:rPr>
        <w:t>C</w:t>
      </w:r>
      <w:r w:rsidR="00C65088">
        <w:rPr>
          <w:rFonts w:ascii="Times New Roman" w:hAnsi="Times New Roman"/>
          <w:b/>
          <w:sz w:val="26"/>
          <w:szCs w:val="26"/>
        </w:rPr>
        <w:t>B3338</w:t>
      </w:r>
      <w:r w:rsidRPr="005E2082">
        <w:rPr>
          <w:rFonts w:ascii="Times New Roman" w:hAnsi="Times New Roman"/>
          <w:b/>
          <w:sz w:val="26"/>
          <w:szCs w:val="26"/>
        </w:rPr>
        <w:t xml:space="preserve"> </w:t>
      </w:r>
      <w:r w:rsidR="00C65088">
        <w:rPr>
          <w:rFonts w:ascii="Times New Roman" w:hAnsi="Times New Roman"/>
          <w:b/>
          <w:sz w:val="26"/>
          <w:szCs w:val="26"/>
        </w:rPr>
        <w:t>A magyar mint idegen nyelv</w:t>
      </w:r>
    </w:p>
    <w:p w:rsidR="00656A2C" w:rsidRPr="005E2082" w:rsidRDefault="00656A2C" w:rsidP="00656A2C">
      <w:pPr>
        <w:jc w:val="center"/>
        <w:rPr>
          <w:rFonts w:ascii="Times New Roman" w:hAnsi="Times New Roman"/>
        </w:rPr>
      </w:pPr>
      <w:r w:rsidRPr="005E2082">
        <w:rPr>
          <w:rFonts w:ascii="Times New Roman" w:hAnsi="Times New Roman"/>
        </w:rPr>
        <w:t>(</w:t>
      </w:r>
      <w:proofErr w:type="spellStart"/>
      <w:r w:rsidRPr="005E2082">
        <w:rPr>
          <w:rFonts w:ascii="Times New Roman" w:hAnsi="Times New Roman"/>
        </w:rPr>
        <w:t>Bertóthyné</w:t>
      </w:r>
      <w:proofErr w:type="spellEnd"/>
      <w:r w:rsidRPr="005E2082">
        <w:rPr>
          <w:rFonts w:ascii="Times New Roman" w:hAnsi="Times New Roman"/>
        </w:rPr>
        <w:t xml:space="preserve"> dr. Végvári Erzsébet)</w:t>
      </w:r>
    </w:p>
    <w:p w:rsidR="00656A2C" w:rsidRDefault="00656A2C" w:rsidP="00AE1782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Default="00D7243D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 - </w:t>
      </w:r>
      <w:r w:rsidR="00656A2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656A2C" w:rsidRDefault="00656A2C" w:rsidP="00656A2C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656A2C" w:rsidTr="00656A2C">
        <w:tc>
          <w:tcPr>
            <w:tcW w:w="1526" w:type="dxa"/>
            <w:hideMark/>
          </w:tcPr>
          <w:p w:rsidR="00656A2C" w:rsidRDefault="00D7243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7513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656A2C" w:rsidRPr="00C65088" w:rsidRDefault="00656A2C" w:rsidP="00C65088">
            <w:pPr>
              <w:tabs>
                <w:tab w:val="left" w:pos="3058"/>
              </w:tabs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63B6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Félévi feladatok megbeszélése.</w:t>
            </w:r>
            <w:r w:rsidR="00C65088" w:rsidRPr="00C650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</w:r>
          </w:p>
          <w:p w:rsidR="00C603D3" w:rsidRPr="00663B67" w:rsidRDefault="00C65088" w:rsidP="00C65088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C65088">
              <w:rPr>
                <w:sz w:val="20"/>
                <w:szCs w:val="20"/>
              </w:rPr>
              <w:t>Bemutatkozás, az első találkozás, tematika ismertetése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C65088" w:rsidRDefault="00C65088" w:rsidP="002E081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Nyelvek – a magyar nyelv jellemzői.</w:t>
            </w:r>
          </w:p>
          <w:p w:rsidR="00C603D3" w:rsidRPr="00663B67" w:rsidRDefault="00C65088" w:rsidP="002E081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 xml:space="preserve">ABC, olvasás magyar nyelven. 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656A2C" w:rsidRPr="00663B67" w:rsidRDefault="00C65088" w:rsidP="002E081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Tanulás, iskola.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656A2C" w:rsidRPr="00663B67" w:rsidRDefault="00C65088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Ház, otthon, környezet.</w:t>
            </w:r>
          </w:p>
        </w:tc>
      </w:tr>
      <w:tr w:rsidR="00656A2C" w:rsidTr="00656A2C">
        <w:tc>
          <w:tcPr>
            <w:tcW w:w="1526" w:type="dxa"/>
            <w:hideMark/>
          </w:tcPr>
          <w:p w:rsidR="00656A2C" w:rsidRDefault="00656A2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3" w:type="dxa"/>
            <w:hideMark/>
          </w:tcPr>
          <w:p w:rsidR="00656A2C" w:rsidRPr="00FC01CA" w:rsidRDefault="00C65088" w:rsidP="00FC01CA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Mindennapi élet, vásárlás.</w:t>
            </w:r>
          </w:p>
        </w:tc>
      </w:tr>
      <w:tr w:rsidR="00C603D3" w:rsidTr="00656A2C">
        <w:tc>
          <w:tcPr>
            <w:tcW w:w="1526" w:type="dxa"/>
            <w:hideMark/>
          </w:tcPr>
          <w:p w:rsidR="00C603D3" w:rsidRDefault="00C603D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513" w:type="dxa"/>
            <w:hideMark/>
          </w:tcPr>
          <w:p w:rsidR="006A576E" w:rsidRPr="00663B67" w:rsidRDefault="008B037C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Ételek és italok.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513" w:type="dxa"/>
          </w:tcPr>
          <w:p w:rsidR="00AE1782" w:rsidRPr="00663B67" w:rsidRDefault="008B037C" w:rsidP="006A576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 xml:space="preserve">Sport, szabadidő. 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513" w:type="dxa"/>
          </w:tcPr>
          <w:p w:rsidR="008B037C" w:rsidRPr="00663B67" w:rsidRDefault="008B037C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 xml:space="preserve">Utazás, útbaigazítás. 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513" w:type="dxa"/>
          </w:tcPr>
          <w:p w:rsidR="00AE1782" w:rsidRPr="00663B67" w:rsidRDefault="00FC01C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Egészség és higiénia.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513" w:type="dxa"/>
          </w:tcPr>
          <w:p w:rsidR="00AE1782" w:rsidRPr="00663B67" w:rsidRDefault="00FC01C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Öltözködés.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513" w:type="dxa"/>
          </w:tcPr>
          <w:p w:rsidR="00AE1782" w:rsidRPr="00663B67" w:rsidRDefault="00FC01C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Mozi,színház, koncertek.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513" w:type="dxa"/>
          </w:tcPr>
          <w:p w:rsidR="00663B67" w:rsidRDefault="00FC01CA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Ünnepeink.</w:t>
            </w:r>
          </w:p>
          <w:p w:rsidR="00AE1782" w:rsidRPr="00663B67" w:rsidRDefault="00AE1782">
            <w:pPr>
              <w:pStyle w:val="Listaszerbekezds"/>
              <w:ind w:left="0"/>
              <w:rPr>
                <w:sz w:val="20"/>
              </w:rPr>
            </w:pPr>
            <w:r w:rsidRPr="00663B67">
              <w:rPr>
                <w:sz w:val="20"/>
              </w:rPr>
              <w:t>Házi feladat</w:t>
            </w:r>
            <w:r w:rsidR="00FC01CA">
              <w:rPr>
                <w:sz w:val="20"/>
              </w:rPr>
              <w:t xml:space="preserve">ok – </w:t>
            </w:r>
            <w:r w:rsidR="008F1B51">
              <w:rPr>
                <w:sz w:val="20"/>
              </w:rPr>
              <w:t>minden órára</w:t>
            </w:r>
            <w:r w:rsidR="00000A37">
              <w:rPr>
                <w:sz w:val="20"/>
              </w:rPr>
              <w:t xml:space="preserve"> </w:t>
            </w:r>
            <w:r w:rsidR="00FC01CA">
              <w:rPr>
                <w:sz w:val="20"/>
              </w:rPr>
              <w:t>a kijelölt</w:t>
            </w:r>
            <w:r w:rsidRPr="00663B67">
              <w:rPr>
                <w:sz w:val="20"/>
              </w:rPr>
              <w:t xml:space="preserve"> tananyag</w:t>
            </w:r>
            <w:r w:rsidR="00FC01CA">
              <w:rPr>
                <w:sz w:val="20"/>
              </w:rPr>
              <w:t>ok</w:t>
            </w:r>
            <w:r w:rsidRPr="00663B67">
              <w:rPr>
                <w:sz w:val="20"/>
              </w:rPr>
              <w:t>ból.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7513" w:type="dxa"/>
          </w:tcPr>
          <w:p w:rsidR="00663B67" w:rsidRPr="00663B67" w:rsidRDefault="008569DE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Ismétlés, gyakorlás</w:t>
            </w:r>
          </w:p>
        </w:tc>
      </w:tr>
      <w:tr w:rsidR="00663B67" w:rsidTr="00656A2C">
        <w:tc>
          <w:tcPr>
            <w:tcW w:w="1526" w:type="dxa"/>
          </w:tcPr>
          <w:p w:rsidR="00663B67" w:rsidRDefault="00663B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7513" w:type="dxa"/>
          </w:tcPr>
          <w:p w:rsidR="00663B67" w:rsidRPr="00663B67" w:rsidRDefault="008D3C01">
            <w:pPr>
              <w:pStyle w:val="Listaszerbekezds"/>
              <w:ind w:left="0"/>
              <w:rPr>
                <w:sz w:val="20"/>
              </w:rPr>
            </w:pPr>
            <w:r>
              <w:rPr>
                <w:sz w:val="20"/>
              </w:rPr>
              <w:t>A félév értékelése.</w:t>
            </w:r>
          </w:p>
        </w:tc>
      </w:tr>
    </w:tbl>
    <w:p w:rsidR="00656A2C" w:rsidRDefault="00656A2C" w:rsidP="00656A2C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 foglalkozásokon történő részvétel:</w:t>
      </w:r>
      <w:r w:rsidRPr="00BD7343">
        <w:rPr>
          <w:rFonts w:ascii="Times New Roman" w:eastAsia="Times New Roman" w:hAnsi="Times New Roman"/>
          <w:lang w:eastAsia="hu-HU"/>
        </w:rPr>
        <w:t> </w:t>
      </w:r>
    </w:p>
    <w:p w:rsidR="00656A2C" w:rsidRPr="00BD7343" w:rsidRDefault="00656A2C" w:rsidP="00656A2C">
      <w:pPr>
        <w:suppressAutoHyphens/>
        <w:rPr>
          <w:rFonts w:ascii="Times New Roman" w:hAnsi="Times New Roman"/>
        </w:rPr>
      </w:pPr>
      <w:r w:rsidRPr="00BD7343">
        <w:rPr>
          <w:rFonts w:ascii="Times New Roman" w:hAnsi="Times New Roman"/>
        </w:rPr>
        <w:t xml:space="preserve">A foglalkozásokon való részvételre vonatkozóan a TVSZ előírásai az irányadóak. </w:t>
      </w:r>
    </w:p>
    <w:p w:rsidR="00656A2C" w:rsidRPr="00BD7343" w:rsidRDefault="00656A2C" w:rsidP="00656A2C">
      <w:pPr>
        <w:suppressAutoHyphens/>
        <w:rPr>
          <w:rFonts w:ascii="Times New Roman" w:hAnsi="Times New Roman"/>
        </w:rPr>
      </w:pPr>
      <w:r w:rsidRPr="00BD7343">
        <w:rPr>
          <w:rFonts w:ascii="Times New Roman" w:hAnsi="Times New Roman"/>
        </w:rPr>
        <w:t>(</w:t>
      </w:r>
      <w:proofErr w:type="spellStart"/>
      <w:r w:rsidRPr="00BD7343">
        <w:rPr>
          <w:rFonts w:ascii="Times New Roman" w:hAnsi="Times New Roman"/>
        </w:rPr>
        <w:t>TVSz</w:t>
      </w:r>
      <w:proofErr w:type="spellEnd"/>
      <w:r w:rsidRPr="00BD7343">
        <w:rPr>
          <w:rFonts w:ascii="Times New Roman" w:hAnsi="Times New Roman"/>
        </w:rPr>
        <w:t xml:space="preserve"> 8.§ 1.).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 xml:space="preserve">Félévi követelmény: gyakorlati jegy 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Az értékelés módja, ütemezése:</w:t>
      </w:r>
      <w:r w:rsidRPr="00BD7343">
        <w:rPr>
          <w:rFonts w:ascii="Times New Roman" w:eastAsia="Times New Roman" w:hAnsi="Times New Roman"/>
          <w:lang w:eastAsia="hu-HU"/>
        </w:rPr>
        <w:t> Gyakorlati – órai</w:t>
      </w:r>
      <w:r w:rsidR="00740E2F">
        <w:rPr>
          <w:rFonts w:ascii="Times New Roman" w:eastAsia="Times New Roman" w:hAnsi="Times New Roman"/>
          <w:lang w:eastAsia="hu-HU"/>
        </w:rPr>
        <w:t xml:space="preserve"> munka (szóbeli, írásbeli feleletek)</w:t>
      </w:r>
      <w:r w:rsidRPr="00BD7343">
        <w:rPr>
          <w:rFonts w:ascii="Times New Roman" w:eastAsia="Times New Roman" w:hAnsi="Times New Roman"/>
          <w:lang w:eastAsia="hu-HU"/>
        </w:rPr>
        <w:t>.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BD7343">
        <w:rPr>
          <w:rFonts w:ascii="Times New Roman" w:eastAsia="Times New Roman" w:hAnsi="Times New Roman"/>
          <w:b/>
          <w:lang w:eastAsia="hu-HU"/>
        </w:rPr>
        <w:t>A félévközi ellenőrzések követelményei:</w:t>
      </w:r>
    </w:p>
    <w:p w:rsidR="00656A2C" w:rsidRPr="00BD7343" w:rsidRDefault="00656A2C" w:rsidP="00656A2C">
      <w:pPr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lang w:eastAsia="hu-HU"/>
        </w:rPr>
        <w:t>A tantárgy jellege folyamatos gyakorlást feltételez, íg</w:t>
      </w:r>
      <w:r w:rsidR="007552EA">
        <w:rPr>
          <w:rFonts w:ascii="Times New Roman" w:eastAsia="Times New Roman" w:hAnsi="Times New Roman"/>
          <w:lang w:eastAsia="hu-HU"/>
        </w:rPr>
        <w:t>y a hallgatók minden órán</w:t>
      </w:r>
      <w:r w:rsidRPr="00BD7343">
        <w:rPr>
          <w:rFonts w:ascii="Times New Roman" w:eastAsia="Times New Roman" w:hAnsi="Times New Roman"/>
          <w:lang w:eastAsia="hu-HU"/>
        </w:rPr>
        <w:t xml:space="preserve"> házi feladatot kapnak, amely ell</w:t>
      </w:r>
      <w:r w:rsidR="00946B16" w:rsidRPr="00BD7343">
        <w:rPr>
          <w:rFonts w:ascii="Times New Roman" w:eastAsia="Times New Roman" w:hAnsi="Times New Roman"/>
          <w:lang w:eastAsia="hu-HU"/>
        </w:rPr>
        <w:t xml:space="preserve">enőrzésre kerül. A félév </w:t>
      </w:r>
      <w:r w:rsidR="007552EA">
        <w:rPr>
          <w:rFonts w:ascii="Times New Roman" w:eastAsia="Times New Roman" w:hAnsi="Times New Roman"/>
          <w:lang w:eastAsia="hu-HU"/>
        </w:rPr>
        <w:t>végén írásban és szóban felelnek a hallgatók a féléves anyagból.</w:t>
      </w: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b/>
          <w:bCs/>
          <w:lang w:eastAsia="hu-HU"/>
        </w:rPr>
      </w:pPr>
    </w:p>
    <w:p w:rsidR="00656A2C" w:rsidRPr="00BD7343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b/>
          <w:bCs/>
          <w:lang w:eastAsia="hu-HU"/>
        </w:rPr>
        <w:t>Az érdemjegy kialakításának módja:</w:t>
      </w:r>
      <w:r w:rsidRPr="00BD7343">
        <w:rPr>
          <w:rFonts w:ascii="Times New Roman" w:eastAsia="Times New Roman" w:hAnsi="Times New Roman"/>
          <w:lang w:eastAsia="hu-HU"/>
        </w:rPr>
        <w:t> </w:t>
      </w:r>
    </w:p>
    <w:p w:rsidR="00656A2C" w:rsidRDefault="00656A2C" w:rsidP="00656A2C">
      <w:pPr>
        <w:textAlignment w:val="baseline"/>
        <w:rPr>
          <w:rFonts w:ascii="Times New Roman" w:eastAsia="Times New Roman" w:hAnsi="Times New Roman"/>
          <w:lang w:eastAsia="hu-HU"/>
        </w:rPr>
      </w:pPr>
      <w:r w:rsidRPr="00BD7343">
        <w:rPr>
          <w:rFonts w:ascii="Times New Roman" w:eastAsia="Times New Roman" w:hAnsi="Times New Roman"/>
          <w:lang w:eastAsia="hu-HU"/>
        </w:rPr>
        <w:t xml:space="preserve">A </w:t>
      </w:r>
      <w:r w:rsidR="007552EA">
        <w:rPr>
          <w:rFonts w:ascii="Times New Roman" w:eastAsia="Times New Roman" w:hAnsi="Times New Roman"/>
          <w:lang w:eastAsia="hu-HU"/>
        </w:rPr>
        <w:t>félév végi (szóbeli, írásbeli) feleletek átlaga</w:t>
      </w:r>
      <w:r w:rsidRPr="00BD7343">
        <w:rPr>
          <w:rFonts w:ascii="Times New Roman" w:eastAsia="Times New Roman" w:hAnsi="Times New Roman"/>
          <w:lang w:eastAsia="hu-HU"/>
        </w:rPr>
        <w:t xml:space="preserve">. </w:t>
      </w:r>
    </w:p>
    <w:p w:rsidR="00D662D7" w:rsidRPr="00BD7343" w:rsidRDefault="00D662D7" w:rsidP="00656A2C">
      <w:pPr>
        <w:textAlignment w:val="baseline"/>
        <w:rPr>
          <w:rFonts w:ascii="Times New Roman" w:eastAsia="Times New Roman" w:hAnsi="Times New Roman"/>
          <w:lang w:eastAsia="hu-HU"/>
        </w:rPr>
      </w:pPr>
    </w:p>
    <w:sectPr w:rsidR="00D662D7" w:rsidRPr="00BD7343" w:rsidSect="005E208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CF3"/>
    <w:multiLevelType w:val="hybridMultilevel"/>
    <w:tmpl w:val="A0DE0CAC"/>
    <w:lvl w:ilvl="0" w:tplc="8B2C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15BC"/>
    <w:multiLevelType w:val="hybridMultilevel"/>
    <w:tmpl w:val="A34C4ADA"/>
    <w:lvl w:ilvl="0" w:tplc="9264A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56A2C"/>
    <w:rsid w:val="00000A37"/>
    <w:rsid w:val="00010458"/>
    <w:rsid w:val="001A3BE2"/>
    <w:rsid w:val="001C2C08"/>
    <w:rsid w:val="001D63DD"/>
    <w:rsid w:val="00245C84"/>
    <w:rsid w:val="002C268E"/>
    <w:rsid w:val="002E081A"/>
    <w:rsid w:val="003B241E"/>
    <w:rsid w:val="003C0A73"/>
    <w:rsid w:val="00474F70"/>
    <w:rsid w:val="004F346F"/>
    <w:rsid w:val="00503864"/>
    <w:rsid w:val="005C0401"/>
    <w:rsid w:val="005E2082"/>
    <w:rsid w:val="00656A2C"/>
    <w:rsid w:val="00663B67"/>
    <w:rsid w:val="006A576E"/>
    <w:rsid w:val="006B29E1"/>
    <w:rsid w:val="00740E2F"/>
    <w:rsid w:val="007552EA"/>
    <w:rsid w:val="00786B48"/>
    <w:rsid w:val="007D0B7C"/>
    <w:rsid w:val="007F19C3"/>
    <w:rsid w:val="008569DE"/>
    <w:rsid w:val="008B037C"/>
    <w:rsid w:val="008D3C01"/>
    <w:rsid w:val="008F1B51"/>
    <w:rsid w:val="009109E4"/>
    <w:rsid w:val="00946B16"/>
    <w:rsid w:val="00A67C26"/>
    <w:rsid w:val="00AE1782"/>
    <w:rsid w:val="00AE7915"/>
    <w:rsid w:val="00B513A6"/>
    <w:rsid w:val="00BD7343"/>
    <w:rsid w:val="00BF3F9A"/>
    <w:rsid w:val="00C3380D"/>
    <w:rsid w:val="00C603D3"/>
    <w:rsid w:val="00C65088"/>
    <w:rsid w:val="00D662D7"/>
    <w:rsid w:val="00D7243D"/>
    <w:rsid w:val="00DD1B83"/>
    <w:rsid w:val="00DE63B8"/>
    <w:rsid w:val="00E639D0"/>
    <w:rsid w:val="00F256E6"/>
    <w:rsid w:val="00F34B39"/>
    <w:rsid w:val="00FC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A2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A2C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650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dcterms:created xsi:type="dcterms:W3CDTF">2019-01-15T12:06:00Z</dcterms:created>
  <dcterms:modified xsi:type="dcterms:W3CDTF">2019-02-18T16:19:00Z</dcterms:modified>
</cp:coreProperties>
</file>